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widowControl w:val="0"/>
        <w:spacing w:after="200" w:line="240" w:lineRule="auto"/>
        <w:jc w:val="center"/>
        <w:rPr/>
      </w:pPr>
      <w:bookmarkStart w:colFirst="0" w:colLast="0" w:name="_8roww3mmpgm9" w:id="0"/>
      <w:bookmarkEnd w:id="0"/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ROZHODČÍ KOMISE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1233488</wp:posOffset>
            </wp:positionH>
            <wp:positionV relativeFrom="paragraph">
              <wp:posOffset>304800</wp:posOffset>
            </wp:positionV>
            <wp:extent cx="5760720" cy="186690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66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ROZHODČÍ KOMISE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je tým který: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rozhoduje ve stranických sporech mezi jednotlivci, mezi lidmi a týmy a nebo mezi týmy navzájem.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vede rozhodčí řízení podle rozhodčího řádu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Odpovídá na předběžné otázky týmů a lidí, pokud není výklad stanov nebo předpisů jasný; taková odpověď působí při aplikaci silou přesvědčivosti.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průběžně shromažďuje návrhy na změnu stanov.</w:t>
      </w:r>
    </w:p>
    <w:p w:rsidR="00000000" w:rsidDel="00000000" w:rsidP="00000000" w:rsidRDefault="00000000" w:rsidRPr="00000000" w14:paraId="00000008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Zjednodušeně můžeme říct, že rozhodčí komise je v pozici soudce, zatímco kontrolní komise je v pozici policistů. Rozhodčí komise přijme podklady a výsledky od kontrolní komise, vyhledá řešení sporu a hlasují o něm.</w:t>
      </w:r>
    </w:p>
    <w:p w:rsidR="00000000" w:rsidDel="00000000" w:rsidP="00000000" w:rsidRDefault="00000000" w:rsidRPr="00000000" w14:paraId="0000000A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Rozhodčí komise také odpovídá předběžným otázkám sporu. Například, pokud si nebudeš jistý/á, jaký je správný postup v nějakém sporu, můžeš se zeptat RK a ověřit si ho.</w:t>
      </w:r>
    </w:p>
    <w:p w:rsidR="00000000" w:rsidDel="00000000" w:rsidP="00000000" w:rsidRDefault="00000000" w:rsidRPr="00000000" w14:paraId="0000000C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Rozhodčí komisi můžeš kontaktovat prostřednictvím jednotného emailu </w:t>
      </w:r>
      <w:hyperlink r:id="rId7">
        <w:r w:rsidDel="00000000" w:rsidR="00000000" w:rsidRPr="00000000">
          <w:rPr>
            <w:rFonts w:ascii="Roboto Condensed" w:cs="Roboto Condensed" w:eastAsia="Roboto Condensed" w:hAnsi="Roboto Condensed"/>
            <w:color w:val="1155cc"/>
            <w:u w:val="single"/>
            <w:rtl w:val="0"/>
          </w:rPr>
          <w:t xml:space="preserve">rk@pirati.cz</w:t>
        </w:r>
      </w:hyperlink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2505075</wp:posOffset>
            </wp:positionV>
            <wp:extent cx="7877175" cy="595312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595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371475</wp:posOffset>
            </wp:positionV>
            <wp:extent cx="7877175" cy="595312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595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rk@pirati.cz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